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jc w:val="left"/>
        <w:rPr>
          <w:rFonts w:ascii="ARIAL" w:hAnsi="ARIAL"/>
          <w:sz w:val="20"/>
          <w:szCs w:val="20"/>
        </w:rPr>
      </w:pPr>
      <w:r>
        <w:rPr>
          <w:rFonts w:ascii="ARIAL" w:hAnsi="ARIAL"/>
          <w:sz w:val="20"/>
          <w:szCs w:val="20"/>
        </w:rPr>
      </w:r>
    </w:p>
    <w:tbl>
      <w:tblPr>
        <w:jc w:val="center"/>
        <w:tblInd w:w="0" w:type="dxa"/>
        <w:tblBorders>
          <w:top w:val="nil"/>
          <w:left w:val="nil"/>
          <w:bottom w:val="nil"/>
          <w:insideH w:val="nil"/>
          <w:right w:val="nil"/>
          <w:insideV w:val="nil"/>
        </w:tblBorders>
        <w:tblCellMar>
          <w:top w:w="28" w:type="dxa"/>
          <w:left w:w="28" w:type="dxa"/>
          <w:bottom w:w="28" w:type="dxa"/>
          <w:right w:w="28" w:type="dxa"/>
        </w:tblCellMar>
      </w:tblPr>
      <w:tblGrid>
        <w:gridCol w:w="8258"/>
        <w:gridCol w:w="96"/>
        <w:gridCol w:w="1283"/>
      </w:tblGrid>
      <w:tr>
        <w:trPr>
          <w:cantSplit w:val="false"/>
        </w:trPr>
        <w:tc>
          <w:tcPr>
            <w:tcW w:w="9637" w:type="dxa"/>
            <w:gridSpan w:val="3"/>
            <w:tcBorders>
              <w:top w:val="nil"/>
              <w:left w:val="nil"/>
              <w:bottom w:val="nil"/>
              <w:insideH w:val="nil"/>
              <w:right w:val="nil"/>
              <w:insideV w:val="nil"/>
            </w:tcBorders>
            <w:shd w:fill="FFFFFF" w:val="clear"/>
            <w:vAlign w:val="center"/>
          </w:tcPr>
          <w:p>
            <w:pPr>
              <w:pStyle w:val="TableContents"/>
              <w:pBdr>
                <w:top w:val="nil"/>
                <w:left w:val="nil"/>
                <w:bottom w:val="nil"/>
                <w:right w:val="nil"/>
              </w:pBdr>
              <w:spacing w:before="120" w:after="210"/>
              <w:ind w:left="0" w:right="0" w:hanging="0"/>
              <w:jc w:val="left"/>
              <w:rPr>
                <w:rFonts w:ascii="ARIAL" w:hAnsi="ARIAL"/>
                <w:sz w:val="20"/>
                <w:szCs w:val="20"/>
              </w:rPr>
            </w:pPr>
            <w:r>
              <w:rPr>
                <w:rStyle w:val="StrongEmphasis"/>
                <w:rFonts w:ascii="ARIAL" w:hAnsi="ARIAL"/>
                <w:b/>
                <w:sz w:val="20"/>
                <w:szCs w:val="20"/>
              </w:rPr>
              <w:t>FirstName LastNam</w:t>
            </w:r>
            <w:r>
              <w:rPr>
                <w:rFonts w:ascii="ARIAL" w:hAnsi="ARIAL"/>
                <w:sz w:val="20"/>
                <w:szCs w:val="20"/>
              </w:rPr>
              <w:t>e</w:t>
              <w:br/>
              <w:t>Street Address</w:t>
              <w:br/>
              <w:t>City, ST ZipCode, Country</w:t>
              <w:br/>
              <w:t>Phone #</w:t>
              <w:br/>
              <w:t>Email Address</w:t>
            </w:r>
          </w:p>
        </w:tc>
      </w:tr>
      <w:tr>
        <w:trPr>
          <w:cantSplit w:val="false"/>
        </w:trPr>
        <w:tc>
          <w:tcPr>
            <w:tcW w:w="9637" w:type="dxa"/>
            <w:gridSpan w:val="3"/>
            <w:tcBorders>
              <w:top w:val="nil"/>
              <w:left w:val="nil"/>
              <w:bottom w:val="nil"/>
              <w:insideH w:val="nil"/>
              <w:right w:val="nil"/>
              <w:insideV w:val="nil"/>
            </w:tcBorders>
            <w:shd w:fill="FFFFFF" w:val="clear"/>
            <w:vAlign w:val="center"/>
          </w:tcPr>
          <w:p>
            <w:pPr>
              <w:pStyle w:val="TableContents"/>
              <w:pBdr>
                <w:top w:val="nil"/>
                <w:left w:val="nil"/>
                <w:bottom w:val="nil"/>
                <w:right w:val="nil"/>
              </w:pBdr>
              <w:spacing w:before="120" w:after="210"/>
              <w:ind w:left="0" w:right="0" w:hanging="0"/>
              <w:jc w:val="left"/>
              <w:rPr>
                <w:rStyle w:val="StrongEmphasis"/>
                <w:rFonts w:ascii="ARIAL" w:hAnsi="ARIAL"/>
                <w:b/>
                <w:sz w:val="20"/>
                <w:szCs w:val="20"/>
              </w:rPr>
            </w:pPr>
            <w:r>
              <w:rPr>
                <w:rStyle w:val="StrongEmphasis"/>
                <w:rFonts w:ascii="ARIAL" w:hAnsi="ARIAL"/>
                <w:b/>
                <w:sz w:val="20"/>
                <w:szCs w:val="20"/>
              </w:rPr>
              <w:t>PROFILE</w:t>
            </w:r>
          </w:p>
        </w:tc>
      </w:tr>
      <w:tr>
        <w:trPr>
          <w:cantSplit w:val="false"/>
        </w:trPr>
        <w:tc>
          <w:tcPr>
            <w:tcW w:w="9637" w:type="dxa"/>
            <w:gridSpan w:val="3"/>
            <w:tcBorders>
              <w:top w:val="nil"/>
              <w:left w:val="nil"/>
              <w:bottom w:val="nil"/>
              <w:insideH w:val="nil"/>
              <w:right w:val="nil"/>
              <w:insideV w:val="nil"/>
            </w:tcBorders>
            <w:shd w:fill="FFFFFF" w:val="clear"/>
            <w:vAlign w:val="center"/>
          </w:tcPr>
          <w:p>
            <w:pPr>
              <w:pStyle w:val="TableContents"/>
              <w:pBdr>
                <w:top w:val="nil"/>
                <w:left w:val="nil"/>
                <w:bottom w:val="nil"/>
                <w:right w:val="nil"/>
              </w:pBdr>
              <w:spacing w:before="120" w:after="210"/>
              <w:ind w:left="0" w:right="0" w:hanging="0"/>
              <w:jc w:val="left"/>
              <w:rPr>
                <w:rStyle w:val="StrongEmphasis"/>
                <w:rFonts w:ascii="ARIAL" w:hAnsi="ARIAL"/>
                <w:b/>
                <w:sz w:val="20"/>
                <w:szCs w:val="20"/>
              </w:rPr>
            </w:pPr>
            <w:r>
              <w:rPr>
                <w:rStyle w:val="StrongEmphasis"/>
                <w:rFonts w:ascii="ARIAL" w:hAnsi="ARIAL"/>
                <w:b/>
                <w:sz w:val="20"/>
                <w:szCs w:val="20"/>
              </w:rPr>
              <w:t>Senior Staff Accountant</w:t>
            </w:r>
          </w:p>
        </w:tc>
      </w:tr>
      <w:tr>
        <w:trPr>
          <w:cantSplit w:val="false"/>
        </w:trPr>
        <w:tc>
          <w:tcPr>
            <w:tcW w:w="9637" w:type="dxa"/>
            <w:gridSpan w:val="3"/>
            <w:tcBorders>
              <w:top w:val="nil"/>
              <w:left w:val="nil"/>
              <w:bottom w:val="nil"/>
              <w:insideH w:val="nil"/>
              <w:right w:val="nil"/>
              <w:insideV w:val="nil"/>
            </w:tcBorders>
            <w:shd w:fill="FFFFFF" w:val="clear"/>
            <w:vAlign w:val="center"/>
          </w:tcPr>
          <w:p>
            <w:pPr>
              <w:pStyle w:val="TableContents"/>
              <w:pBdr>
                <w:top w:val="nil"/>
                <w:left w:val="nil"/>
                <w:bottom w:val="nil"/>
                <w:right w:val="nil"/>
              </w:pBdr>
              <w:spacing w:before="120" w:after="210"/>
              <w:ind w:left="0" w:right="0" w:hanging="0"/>
              <w:jc w:val="left"/>
              <w:rPr>
                <w:rFonts w:ascii="ARIAL" w:hAnsi="ARIAL"/>
                <w:sz w:val="20"/>
                <w:szCs w:val="20"/>
              </w:rPr>
            </w:pPr>
            <w:r>
              <w:rPr>
                <w:rFonts w:ascii="ARIAL" w:hAnsi="ARIAL"/>
                <w:sz w:val="20"/>
                <w:szCs w:val="20"/>
              </w:rPr>
              <w:t>· With 10 years of accounting experience in manufacturing, commercial property management, and medical industries.</w:t>
              <w:br/>
              <w:t>· General ledger expert with an emphasis on month-end account reconciliations, journal entries, and month-end expense analysis.</w:t>
              <w:br/>
              <w:t>· Completed 5.5 years in a supervisory role involved in interviewing, hiring, training, staff development, annual performance evaluations, and motivation.</w:t>
              <w:br/>
              <w:t>· Proven track record recognizing and implementing improvements in workflow, increasing efficiencies and productivity, increasing accuracy of information, and creating synergy within team management environments.</w:t>
              <w:br/>
              <w:t>· Computer skills include Microsoft Office (Word, Excel, PowerPoint, Outlook, and Publisher), SAP (Finance/Fixed Assets), Skyline, and MRI.</w:t>
            </w:r>
          </w:p>
        </w:tc>
      </w:tr>
      <w:tr>
        <w:trPr>
          <w:cantSplit w:val="false"/>
        </w:trPr>
        <w:tc>
          <w:tcPr>
            <w:tcW w:w="9637" w:type="dxa"/>
            <w:gridSpan w:val="3"/>
            <w:tcBorders>
              <w:top w:val="nil"/>
              <w:left w:val="nil"/>
              <w:bottom w:val="nil"/>
              <w:insideH w:val="nil"/>
              <w:right w:val="nil"/>
              <w:insideV w:val="nil"/>
            </w:tcBorders>
            <w:shd w:fill="FFFFFF" w:val="clear"/>
            <w:vAlign w:val="center"/>
          </w:tcPr>
          <w:p>
            <w:pPr>
              <w:pStyle w:val="TableContents"/>
              <w:pBdr>
                <w:top w:val="nil"/>
                <w:left w:val="nil"/>
                <w:bottom w:val="nil"/>
                <w:right w:val="nil"/>
              </w:pBdr>
              <w:spacing w:before="120" w:after="210"/>
              <w:ind w:left="0" w:right="0" w:hanging="0"/>
              <w:jc w:val="left"/>
              <w:rPr>
                <w:rStyle w:val="StrongEmphasis"/>
                <w:rFonts w:ascii="ARIAL" w:hAnsi="ARIAL"/>
                <w:b/>
                <w:sz w:val="20"/>
                <w:szCs w:val="20"/>
              </w:rPr>
            </w:pPr>
            <w:r>
              <w:rPr>
                <w:rStyle w:val="StrongEmphasis"/>
                <w:rFonts w:ascii="ARIAL" w:hAnsi="ARIAL"/>
                <w:b/>
                <w:sz w:val="20"/>
                <w:szCs w:val="20"/>
              </w:rPr>
              <w:t>EXPERIENCE</w:t>
            </w:r>
          </w:p>
        </w:tc>
      </w:tr>
      <w:tr>
        <w:trPr>
          <w:cantSplit w:val="false"/>
        </w:trPr>
        <w:tc>
          <w:tcPr>
            <w:tcW w:w="8258" w:type="dxa"/>
            <w:tcBorders>
              <w:top w:val="nil"/>
              <w:left w:val="nil"/>
              <w:bottom w:val="nil"/>
              <w:insideH w:val="nil"/>
              <w:right w:val="nil"/>
              <w:insideV w:val="nil"/>
            </w:tcBorders>
            <w:shd w:fill="FFFFFF" w:val="clear"/>
            <w:vAlign w:val="center"/>
          </w:tcPr>
          <w:p>
            <w:pPr>
              <w:pStyle w:val="TableContents"/>
              <w:pBdr>
                <w:top w:val="nil"/>
                <w:left w:val="nil"/>
                <w:bottom w:val="nil"/>
                <w:right w:val="nil"/>
              </w:pBdr>
              <w:spacing w:before="120" w:after="210"/>
              <w:ind w:left="0" w:right="0" w:hanging="0"/>
              <w:jc w:val="left"/>
              <w:rPr>
                <w:rStyle w:val="StrongEmphasis"/>
                <w:rFonts w:ascii="ARIAL" w:hAnsi="ARIAL"/>
                <w:b/>
                <w:sz w:val="20"/>
                <w:szCs w:val="20"/>
              </w:rPr>
            </w:pPr>
            <w:r>
              <w:rPr>
                <w:rStyle w:val="StrongEmphasis"/>
                <w:rFonts w:ascii="ARIAL" w:hAnsi="ARIAL"/>
                <w:b/>
                <w:sz w:val="20"/>
                <w:szCs w:val="20"/>
              </w:rPr>
              <w:t>Staff Accountant</w:t>
            </w:r>
          </w:p>
        </w:tc>
        <w:tc>
          <w:tcPr>
            <w:tcW w:w="1379" w:type="dxa"/>
            <w:gridSpan w:val="2"/>
            <w:tcBorders>
              <w:top w:val="nil"/>
              <w:left w:val="nil"/>
              <w:bottom w:val="nil"/>
              <w:insideH w:val="nil"/>
              <w:right w:val="nil"/>
              <w:insideV w:val="nil"/>
            </w:tcBorders>
            <w:shd w:fill="FFFFFF" w:val="clear"/>
            <w:vAlign w:val="center"/>
          </w:tcPr>
          <w:p>
            <w:pPr>
              <w:pStyle w:val="TableContents"/>
              <w:pBdr>
                <w:top w:val="nil"/>
                <w:left w:val="nil"/>
                <w:bottom w:val="nil"/>
                <w:right w:val="nil"/>
              </w:pBdr>
              <w:spacing w:before="120" w:after="210"/>
              <w:ind w:left="0" w:right="0" w:hanging="0"/>
              <w:jc w:val="left"/>
              <w:rPr>
                <w:rFonts w:ascii="ARIAL" w:hAnsi="ARIAL"/>
                <w:sz w:val="20"/>
                <w:szCs w:val="20"/>
              </w:rPr>
            </w:pPr>
            <w:r>
              <w:rPr>
                <w:rFonts w:ascii="ARIAL" w:hAnsi="ARIAL"/>
                <w:sz w:val="20"/>
                <w:szCs w:val="20"/>
              </w:rPr>
              <w:t>1999 to Present</w:t>
            </w:r>
          </w:p>
        </w:tc>
      </w:tr>
      <w:tr>
        <w:trPr>
          <w:cantSplit w:val="false"/>
        </w:trPr>
        <w:tc>
          <w:tcPr>
            <w:tcW w:w="9637" w:type="dxa"/>
            <w:gridSpan w:val="3"/>
            <w:tcBorders>
              <w:top w:val="nil"/>
              <w:left w:val="nil"/>
              <w:bottom w:val="nil"/>
              <w:insideH w:val="nil"/>
              <w:right w:val="nil"/>
              <w:insideV w:val="nil"/>
            </w:tcBorders>
            <w:shd w:fill="FFFFFF" w:val="clear"/>
            <w:vAlign w:val="center"/>
          </w:tcPr>
          <w:p>
            <w:pPr>
              <w:pStyle w:val="TableContents"/>
              <w:pBdr>
                <w:top w:val="nil"/>
                <w:left w:val="nil"/>
                <w:bottom w:val="nil"/>
                <w:right w:val="nil"/>
              </w:pBdr>
              <w:spacing w:before="120" w:after="210"/>
              <w:ind w:left="0" w:right="0" w:hanging="0"/>
              <w:jc w:val="left"/>
              <w:rPr>
                <w:rFonts w:ascii="ARIAL" w:hAnsi="ARIAL"/>
                <w:sz w:val="20"/>
                <w:szCs w:val="20"/>
              </w:rPr>
            </w:pPr>
            <w:r>
              <w:rPr>
                <w:rFonts w:ascii="ARIAL" w:hAnsi="ARIAL"/>
                <w:sz w:val="20"/>
                <w:szCs w:val="20"/>
              </w:rPr>
              <w:t>ATOFINA CHEMICALS, INC. – Crosby, Texas</w:t>
            </w:r>
          </w:p>
        </w:tc>
      </w:tr>
      <w:tr>
        <w:trPr>
          <w:cantSplit w:val="false"/>
        </w:trPr>
        <w:tc>
          <w:tcPr>
            <w:tcW w:w="9637" w:type="dxa"/>
            <w:gridSpan w:val="3"/>
            <w:tcBorders>
              <w:top w:val="nil"/>
              <w:left w:val="nil"/>
              <w:bottom w:val="nil"/>
              <w:insideH w:val="nil"/>
              <w:right w:val="nil"/>
              <w:insideV w:val="nil"/>
            </w:tcBorders>
            <w:shd w:fill="FFFFFF" w:val="clear"/>
            <w:vAlign w:val="center"/>
          </w:tcPr>
          <w:p>
            <w:pPr>
              <w:pStyle w:val="TableContents"/>
              <w:pBdr>
                <w:top w:val="nil"/>
                <w:left w:val="nil"/>
                <w:bottom w:val="nil"/>
                <w:right w:val="nil"/>
              </w:pBdr>
              <w:spacing w:before="120" w:after="210"/>
              <w:ind w:left="0" w:right="0" w:hanging="0"/>
              <w:jc w:val="left"/>
              <w:rPr>
                <w:rFonts w:ascii="ARIAL" w:hAnsi="ARIAL"/>
                <w:sz w:val="20"/>
                <w:szCs w:val="20"/>
              </w:rPr>
            </w:pPr>
            <w:r>
              <w:rPr>
                <w:rFonts w:ascii="ARIAL" w:hAnsi="ARIAL"/>
                <w:sz w:val="20"/>
                <w:szCs w:val="20"/>
              </w:rPr>
              <w:t>Maintain full charge general ledger responsibility for an organic peroxide manufacturer with $15 million in expenses. This includes accounts payable, fixed assets, payroll, special construction projects, month-end closings, fixed cost budgeting, and budget analysis. Supervise 2 employees involved in accounts payable and payroll. Interact internally with engineering, local departmental managers, and corporate operations accounting, payroll, tax, and legal departments. Communicate externally with sales tax auditors and outside audit firms. Oversee annual audit for site.</w:t>
              <w:br/>
              <w:t>· Oversaw an 8-year audit—involved pulling data, reviewing sales tax payments, building spreadsheets, and providing auditor with information in a timely manner.</w:t>
              <w:br/>
              <w:t>· Identified $1 million in obsolete/retired assets during a $38 million fixed asset cleanup currently in progress.</w:t>
              <w:br/>
              <w:t>· Setup from 50 to 60 capital projects since 1999—tracked and analyzed payments, verified accuracy, closed capital projects, and posted to fixed assets.</w:t>
              <w:br/>
              <w:t>· Coordinated 3 major projects over $5 million each related to incidents and insurance claims—maintained separate sets of books, including claim reconciliation, and insured all engineers followed regulations on rebuild.</w:t>
              <w:br/>
              <w:t>· Implemented numerous time efficiency projects to offset a decrease in closing time from 7 down to 2 days, a 70% reduction.</w:t>
              <w:br/>
              <w:t>· Created approximately 80 spreadsheets used by management for expense analysis that reduced project time by at least 6 hours each week.</w:t>
              <w:br/>
              <w:t>· Developed and implemented an automated fixed cost budget spreadsheet used to track budgets year to year, reducing project time by at least 75%.</w:t>
              <w:br/>
              <w:t>· Improved efficiencies by 57% to 64% by creating a month-end report spreadsheet which reduced project time down from 2 weeks to 5 or 6 days.</w:t>
              <w:br/>
              <w:t>· Achieved a 40% to 50% decrease in project time by creating automated balance sheet reconciliation spreadsheets.</w:t>
              <w:br/>
              <w:t>· Created purchase order-tracking spreadsheets adopted by corporate and used division-wide.</w:t>
              <w:br/>
              <w:t>· Assigned additional responsibility for cost accounting and researching/correcting errors at month-end due to significant time saved through improved efficiencies.</w:t>
            </w:r>
          </w:p>
        </w:tc>
      </w:tr>
      <w:tr>
        <w:trPr>
          <w:cantSplit w:val="false"/>
        </w:trPr>
        <w:tc>
          <w:tcPr>
            <w:tcW w:w="8258" w:type="dxa"/>
            <w:tcBorders>
              <w:top w:val="nil"/>
              <w:left w:val="nil"/>
              <w:bottom w:val="nil"/>
              <w:insideH w:val="nil"/>
              <w:right w:val="nil"/>
              <w:insideV w:val="nil"/>
            </w:tcBorders>
            <w:shd w:fill="FFFFFF" w:val="clear"/>
            <w:vAlign w:val="center"/>
          </w:tcPr>
          <w:p>
            <w:pPr>
              <w:pStyle w:val="TableContents"/>
              <w:pBdr>
                <w:top w:val="nil"/>
                <w:left w:val="nil"/>
                <w:bottom w:val="nil"/>
                <w:right w:val="nil"/>
              </w:pBdr>
              <w:spacing w:before="120" w:after="210"/>
              <w:ind w:left="0" w:right="0" w:hanging="0"/>
              <w:jc w:val="left"/>
              <w:rPr>
                <w:rStyle w:val="StrongEmphasis"/>
                <w:rFonts w:ascii="ARIAL" w:hAnsi="ARIAL"/>
                <w:b/>
                <w:sz w:val="20"/>
                <w:szCs w:val="20"/>
              </w:rPr>
            </w:pPr>
            <w:r>
              <w:rPr>
                <w:rStyle w:val="StrongEmphasis"/>
                <w:rFonts w:ascii="ARIAL" w:hAnsi="ARIAL"/>
                <w:b/>
                <w:sz w:val="20"/>
                <w:szCs w:val="20"/>
              </w:rPr>
              <w:t>Project Accountant</w:t>
            </w:r>
          </w:p>
        </w:tc>
        <w:tc>
          <w:tcPr>
            <w:tcW w:w="1379" w:type="dxa"/>
            <w:gridSpan w:val="2"/>
            <w:tcBorders>
              <w:top w:val="nil"/>
              <w:left w:val="nil"/>
              <w:bottom w:val="nil"/>
              <w:insideH w:val="nil"/>
              <w:right w:val="nil"/>
              <w:insideV w:val="nil"/>
            </w:tcBorders>
            <w:shd w:fill="FFFFFF" w:val="clear"/>
            <w:vAlign w:val="center"/>
          </w:tcPr>
          <w:p>
            <w:pPr>
              <w:pStyle w:val="TableContents"/>
              <w:pBdr>
                <w:top w:val="nil"/>
                <w:left w:val="nil"/>
                <w:bottom w:val="nil"/>
                <w:right w:val="nil"/>
              </w:pBdr>
              <w:spacing w:before="120" w:after="210"/>
              <w:ind w:left="0" w:right="0" w:hanging="0"/>
              <w:jc w:val="left"/>
              <w:rPr>
                <w:rFonts w:ascii="ARIAL" w:hAnsi="ARIAL"/>
                <w:sz w:val="20"/>
                <w:szCs w:val="20"/>
              </w:rPr>
            </w:pPr>
            <w:r>
              <w:rPr>
                <w:rFonts w:ascii="ARIAL" w:hAnsi="ARIAL"/>
                <w:sz w:val="20"/>
                <w:szCs w:val="20"/>
              </w:rPr>
              <w:t>1998 to 1999</w:t>
            </w:r>
          </w:p>
        </w:tc>
      </w:tr>
      <w:tr>
        <w:trPr>
          <w:cantSplit w:val="false"/>
        </w:trPr>
        <w:tc>
          <w:tcPr>
            <w:tcW w:w="9637" w:type="dxa"/>
            <w:gridSpan w:val="3"/>
            <w:tcBorders>
              <w:top w:val="nil"/>
              <w:left w:val="nil"/>
              <w:bottom w:val="nil"/>
              <w:insideH w:val="nil"/>
              <w:right w:val="nil"/>
              <w:insideV w:val="nil"/>
            </w:tcBorders>
            <w:shd w:fill="FFFFFF" w:val="clear"/>
            <w:vAlign w:val="center"/>
          </w:tcPr>
          <w:p>
            <w:pPr>
              <w:pStyle w:val="TableContents"/>
              <w:jc w:val="left"/>
              <w:rPr>
                <w:rFonts w:ascii="ARIAL" w:hAnsi="ARIAL"/>
                <w:sz w:val="20"/>
                <w:szCs w:val="20"/>
              </w:rPr>
            </w:pPr>
            <w:r>
              <w:rPr>
                <w:rFonts w:ascii="ARIAL" w:hAnsi="ARIAL"/>
                <w:sz w:val="20"/>
                <w:szCs w:val="20"/>
              </w:rPr>
              <w:t>TRANSWESTERN COMMERCIAL SERVICES – Houston, Texas</w:t>
            </w:r>
          </w:p>
        </w:tc>
      </w:tr>
      <w:tr>
        <w:trPr>
          <w:cantSplit w:val="false"/>
        </w:trPr>
        <w:tc>
          <w:tcPr>
            <w:tcW w:w="9637" w:type="dxa"/>
            <w:gridSpan w:val="3"/>
            <w:tcBorders>
              <w:top w:val="nil"/>
              <w:left w:val="nil"/>
              <w:bottom w:val="nil"/>
              <w:insideH w:val="nil"/>
              <w:right w:val="nil"/>
              <w:insideV w:val="nil"/>
            </w:tcBorders>
            <w:shd w:fill="FFFFFF" w:val="clear"/>
            <w:vAlign w:val="center"/>
          </w:tcPr>
          <w:p>
            <w:pPr>
              <w:pStyle w:val="TableContents"/>
              <w:pBdr>
                <w:top w:val="nil"/>
                <w:left w:val="nil"/>
                <w:bottom w:val="nil"/>
                <w:right w:val="nil"/>
              </w:pBdr>
              <w:spacing w:before="120" w:after="210"/>
              <w:ind w:left="0" w:right="0" w:hanging="0"/>
              <w:jc w:val="left"/>
              <w:rPr>
                <w:rFonts w:ascii="ARIAL" w:hAnsi="ARIAL"/>
                <w:sz w:val="20"/>
                <w:szCs w:val="20"/>
              </w:rPr>
            </w:pPr>
            <w:r>
              <w:rPr>
                <w:rFonts w:ascii="ARIAL" w:hAnsi="ARIAL"/>
                <w:sz w:val="20"/>
                <w:szCs w:val="20"/>
              </w:rPr>
              <w:t>Managed month-end closings, financial statement preparations, yearly budgeting, cash management, and all cost reconciliation and journal entries for 7 properties in Houston and New Orleans. Served as 1099 reporting specialist for 120 small entities.</w:t>
              <w:br/>
              <w:t>· Saved approximately $30,000 annually by taking on three additional properties, with responsibility for seven after just months into position.</w:t>
            </w:r>
          </w:p>
        </w:tc>
      </w:tr>
      <w:tr>
        <w:trPr>
          <w:cantSplit w:val="false"/>
        </w:trPr>
        <w:tc>
          <w:tcPr>
            <w:tcW w:w="8258" w:type="dxa"/>
            <w:tcBorders>
              <w:top w:val="nil"/>
              <w:left w:val="nil"/>
              <w:bottom w:val="nil"/>
              <w:insideH w:val="nil"/>
              <w:right w:val="nil"/>
              <w:insideV w:val="nil"/>
            </w:tcBorders>
            <w:shd w:fill="FFFFFF" w:val="clear"/>
            <w:vAlign w:val="center"/>
          </w:tcPr>
          <w:p>
            <w:pPr>
              <w:pStyle w:val="TableContents"/>
              <w:pBdr>
                <w:top w:val="nil"/>
                <w:left w:val="nil"/>
                <w:bottom w:val="nil"/>
                <w:right w:val="nil"/>
              </w:pBdr>
              <w:spacing w:before="120" w:after="210"/>
              <w:ind w:left="0" w:right="0" w:hanging="0"/>
              <w:jc w:val="left"/>
              <w:rPr>
                <w:rStyle w:val="StrongEmphasis"/>
                <w:rFonts w:ascii="ARIAL" w:hAnsi="ARIAL"/>
                <w:b/>
                <w:sz w:val="20"/>
                <w:szCs w:val="20"/>
              </w:rPr>
            </w:pPr>
            <w:r>
              <w:rPr>
                <w:rStyle w:val="StrongEmphasis"/>
                <w:rFonts w:ascii="ARIAL" w:hAnsi="ARIAL"/>
                <w:b/>
                <w:sz w:val="20"/>
                <w:szCs w:val="20"/>
              </w:rPr>
              <w:t>Financial Analyst II/Accounts Payable Supervisor</w:t>
            </w:r>
          </w:p>
        </w:tc>
        <w:tc>
          <w:tcPr>
            <w:tcW w:w="1379" w:type="dxa"/>
            <w:gridSpan w:val="2"/>
            <w:tcBorders>
              <w:top w:val="nil"/>
              <w:left w:val="nil"/>
              <w:bottom w:val="nil"/>
              <w:insideH w:val="nil"/>
              <w:right w:val="nil"/>
              <w:insideV w:val="nil"/>
            </w:tcBorders>
            <w:shd w:fill="FFFFFF" w:val="clear"/>
            <w:vAlign w:val="center"/>
          </w:tcPr>
          <w:p>
            <w:pPr>
              <w:pStyle w:val="TableContents"/>
              <w:pBdr>
                <w:top w:val="nil"/>
                <w:left w:val="nil"/>
                <w:bottom w:val="nil"/>
                <w:right w:val="nil"/>
              </w:pBdr>
              <w:spacing w:before="120" w:after="210"/>
              <w:ind w:left="0" w:right="0" w:hanging="0"/>
              <w:jc w:val="left"/>
              <w:rPr>
                <w:rFonts w:ascii="ARIAL" w:hAnsi="ARIAL"/>
                <w:sz w:val="20"/>
                <w:szCs w:val="20"/>
              </w:rPr>
            </w:pPr>
            <w:r>
              <w:rPr>
                <w:rFonts w:ascii="ARIAL" w:hAnsi="ARIAL"/>
                <w:sz w:val="20"/>
                <w:szCs w:val="20"/>
              </w:rPr>
              <w:t>1997 to 1998</w:t>
            </w:r>
          </w:p>
        </w:tc>
      </w:tr>
      <w:tr>
        <w:trPr>
          <w:cantSplit w:val="false"/>
        </w:trPr>
        <w:tc>
          <w:tcPr>
            <w:tcW w:w="9637" w:type="dxa"/>
            <w:gridSpan w:val="3"/>
            <w:tcBorders>
              <w:top w:val="nil"/>
              <w:left w:val="nil"/>
              <w:bottom w:val="nil"/>
              <w:insideH w:val="nil"/>
              <w:right w:val="nil"/>
              <w:insideV w:val="nil"/>
            </w:tcBorders>
            <w:shd w:fill="FFFFFF" w:val="clear"/>
            <w:vAlign w:val="center"/>
          </w:tcPr>
          <w:p>
            <w:pPr>
              <w:pStyle w:val="TableContents"/>
              <w:jc w:val="left"/>
              <w:rPr>
                <w:rFonts w:ascii="ARIAL" w:hAnsi="ARIAL"/>
                <w:sz w:val="20"/>
                <w:szCs w:val="20"/>
              </w:rPr>
            </w:pPr>
            <w:r>
              <w:rPr>
                <w:rFonts w:ascii="ARIAL" w:hAnsi="ARIAL"/>
                <w:sz w:val="20"/>
                <w:szCs w:val="20"/>
              </w:rPr>
              <w:t>KELSEY SEYBOLD CLINIC – Houston, Texas</w:t>
            </w:r>
          </w:p>
        </w:tc>
      </w:tr>
      <w:tr>
        <w:trPr>
          <w:cantSplit w:val="false"/>
        </w:trPr>
        <w:tc>
          <w:tcPr>
            <w:tcW w:w="9637" w:type="dxa"/>
            <w:gridSpan w:val="3"/>
            <w:tcBorders>
              <w:top w:val="nil"/>
              <w:left w:val="nil"/>
              <w:bottom w:val="nil"/>
              <w:insideH w:val="nil"/>
              <w:right w:val="nil"/>
              <w:insideV w:val="nil"/>
            </w:tcBorders>
            <w:shd w:fill="FFFFFF" w:val="clear"/>
            <w:vAlign w:val="center"/>
          </w:tcPr>
          <w:p>
            <w:pPr>
              <w:pStyle w:val="TableContents"/>
              <w:pBdr>
                <w:top w:val="nil"/>
                <w:left w:val="nil"/>
                <w:bottom w:val="nil"/>
                <w:right w:val="nil"/>
              </w:pBdr>
              <w:spacing w:before="120" w:after="210"/>
              <w:ind w:left="0" w:right="0" w:hanging="0"/>
              <w:jc w:val="left"/>
              <w:rPr>
                <w:rFonts w:ascii="ARIAL" w:hAnsi="ARIAL"/>
                <w:sz w:val="20"/>
                <w:szCs w:val="20"/>
              </w:rPr>
            </w:pPr>
            <w:r>
              <w:rPr>
                <w:rFonts w:ascii="ARIAL" w:hAnsi="ARIAL"/>
                <w:sz w:val="20"/>
                <w:szCs w:val="20"/>
              </w:rPr>
              <w:t>Supervised 6 accounts payable clerks and 1 file clerk. Reviewed accounts payable coding and checked production of between 900 to 1,200 invoices weekly. Resolved vendors’ payment issues. Supervised conversion from mainframe system to SAP.</w:t>
              <w:br/>
              <w:t>· Developed and implemented check writing and payment procedures to accommodate new SAP system.</w:t>
              <w:br/>
              <w:t>· Managed a 7-year balance sheet reconciliation project, supervising 4 temporary employees.</w:t>
            </w:r>
          </w:p>
        </w:tc>
      </w:tr>
      <w:tr>
        <w:trPr>
          <w:cantSplit w:val="false"/>
        </w:trPr>
        <w:tc>
          <w:tcPr>
            <w:tcW w:w="8258" w:type="dxa"/>
            <w:tcBorders>
              <w:top w:val="nil"/>
              <w:left w:val="nil"/>
              <w:bottom w:val="nil"/>
              <w:insideH w:val="nil"/>
              <w:right w:val="nil"/>
              <w:insideV w:val="nil"/>
            </w:tcBorders>
            <w:shd w:fill="FFFFFF" w:val="clear"/>
            <w:vAlign w:val="center"/>
          </w:tcPr>
          <w:p>
            <w:pPr>
              <w:pStyle w:val="TableContents"/>
              <w:pBdr>
                <w:top w:val="nil"/>
                <w:left w:val="nil"/>
                <w:bottom w:val="nil"/>
                <w:right w:val="nil"/>
              </w:pBdr>
              <w:spacing w:before="120" w:after="210"/>
              <w:ind w:left="0" w:right="0" w:hanging="0"/>
              <w:jc w:val="left"/>
              <w:rPr>
                <w:rStyle w:val="StrongEmphasis"/>
                <w:rFonts w:ascii="ARIAL" w:hAnsi="ARIAL"/>
                <w:b/>
                <w:sz w:val="20"/>
                <w:szCs w:val="20"/>
              </w:rPr>
            </w:pPr>
            <w:r>
              <w:rPr>
                <w:rStyle w:val="StrongEmphasis"/>
                <w:rFonts w:ascii="ARIAL" w:hAnsi="ARIAL"/>
                <w:b/>
                <w:sz w:val="20"/>
                <w:szCs w:val="20"/>
              </w:rPr>
              <w:t>Accountant</w:t>
            </w:r>
          </w:p>
        </w:tc>
        <w:tc>
          <w:tcPr>
            <w:tcW w:w="1379" w:type="dxa"/>
            <w:gridSpan w:val="2"/>
            <w:tcBorders>
              <w:top w:val="nil"/>
              <w:left w:val="nil"/>
              <w:bottom w:val="nil"/>
              <w:insideH w:val="nil"/>
              <w:right w:val="nil"/>
              <w:insideV w:val="nil"/>
            </w:tcBorders>
            <w:shd w:fill="FFFFFF" w:val="clear"/>
            <w:vAlign w:val="center"/>
          </w:tcPr>
          <w:p>
            <w:pPr>
              <w:pStyle w:val="TableContents"/>
              <w:pBdr>
                <w:top w:val="nil"/>
                <w:left w:val="nil"/>
                <w:bottom w:val="nil"/>
                <w:right w:val="nil"/>
              </w:pBdr>
              <w:spacing w:before="120" w:after="210"/>
              <w:ind w:left="0" w:right="0" w:hanging="0"/>
              <w:jc w:val="left"/>
              <w:rPr>
                <w:rFonts w:ascii="ARIAL" w:hAnsi="ARIAL"/>
                <w:sz w:val="20"/>
                <w:szCs w:val="20"/>
              </w:rPr>
            </w:pPr>
            <w:r>
              <w:rPr>
                <w:rFonts w:ascii="ARIAL" w:hAnsi="ARIAL"/>
                <w:sz w:val="20"/>
                <w:szCs w:val="20"/>
              </w:rPr>
              <w:t>1997</w:t>
            </w:r>
          </w:p>
        </w:tc>
      </w:tr>
      <w:tr>
        <w:trPr>
          <w:cantSplit w:val="false"/>
        </w:trPr>
        <w:tc>
          <w:tcPr>
            <w:tcW w:w="9637" w:type="dxa"/>
            <w:gridSpan w:val="3"/>
            <w:tcBorders>
              <w:top w:val="nil"/>
              <w:left w:val="nil"/>
              <w:bottom w:val="nil"/>
              <w:insideH w:val="nil"/>
              <w:right w:val="nil"/>
              <w:insideV w:val="nil"/>
            </w:tcBorders>
            <w:shd w:fill="FFFFFF" w:val="clear"/>
            <w:vAlign w:val="center"/>
          </w:tcPr>
          <w:p>
            <w:pPr>
              <w:pStyle w:val="TableContents"/>
              <w:jc w:val="left"/>
              <w:rPr>
                <w:rFonts w:ascii="ARIAL" w:hAnsi="ARIAL"/>
                <w:sz w:val="20"/>
                <w:szCs w:val="20"/>
              </w:rPr>
            </w:pPr>
            <w:r>
              <w:rPr>
                <w:rFonts w:ascii="ARIAL" w:hAnsi="ARIAL"/>
                <w:sz w:val="20"/>
                <w:szCs w:val="20"/>
              </w:rPr>
              <w:t>DYNACARE HOME HEALTH SERVICES – Lafayette, Louisiana</w:t>
            </w:r>
          </w:p>
        </w:tc>
      </w:tr>
      <w:tr>
        <w:trPr>
          <w:cantSplit w:val="false"/>
        </w:trPr>
        <w:tc>
          <w:tcPr>
            <w:tcW w:w="9637" w:type="dxa"/>
            <w:gridSpan w:val="3"/>
            <w:tcBorders>
              <w:top w:val="nil"/>
              <w:left w:val="nil"/>
              <w:bottom w:val="nil"/>
              <w:insideH w:val="nil"/>
              <w:right w:val="nil"/>
              <w:insideV w:val="nil"/>
            </w:tcBorders>
            <w:shd w:fill="FFFFFF" w:val="clear"/>
            <w:vAlign w:val="center"/>
          </w:tcPr>
          <w:p>
            <w:pPr>
              <w:pStyle w:val="TableContents"/>
              <w:pBdr>
                <w:top w:val="nil"/>
                <w:left w:val="nil"/>
                <w:bottom w:val="nil"/>
                <w:right w:val="nil"/>
              </w:pBdr>
              <w:spacing w:before="120" w:after="210"/>
              <w:ind w:left="0" w:right="0" w:hanging="0"/>
              <w:jc w:val="left"/>
              <w:rPr>
                <w:rFonts w:ascii="ARIAL" w:hAnsi="ARIAL"/>
                <w:sz w:val="20"/>
                <w:szCs w:val="20"/>
              </w:rPr>
            </w:pPr>
            <w:r>
              <w:rPr>
                <w:rFonts w:ascii="ARIAL" w:hAnsi="ARIAL"/>
                <w:sz w:val="20"/>
                <w:szCs w:val="20"/>
              </w:rPr>
              <w:t>Tracked cash receipts and disbursements. Managed budgets. Developed and implemented standard operating procedures for all accounting functions. Prepared Medicare/Medicaid billing and cost reports. Interacted with intermediary concerning reimbursements and regulations.</w:t>
            </w:r>
          </w:p>
        </w:tc>
      </w:tr>
      <w:tr>
        <w:trPr>
          <w:cantSplit w:val="false"/>
        </w:trPr>
        <w:tc>
          <w:tcPr>
            <w:tcW w:w="8258" w:type="dxa"/>
            <w:tcBorders>
              <w:top w:val="nil"/>
              <w:left w:val="nil"/>
              <w:bottom w:val="nil"/>
              <w:insideH w:val="nil"/>
              <w:right w:val="nil"/>
              <w:insideV w:val="nil"/>
            </w:tcBorders>
            <w:shd w:fill="FFFFFF" w:val="clear"/>
            <w:vAlign w:val="center"/>
          </w:tcPr>
          <w:p>
            <w:pPr>
              <w:pStyle w:val="TableContents"/>
              <w:pBdr>
                <w:top w:val="nil"/>
                <w:left w:val="nil"/>
                <w:bottom w:val="nil"/>
                <w:right w:val="nil"/>
              </w:pBdr>
              <w:spacing w:before="120" w:after="210"/>
              <w:ind w:left="0" w:right="0" w:hanging="0"/>
              <w:jc w:val="left"/>
              <w:rPr>
                <w:rStyle w:val="StrongEmphasis"/>
                <w:rFonts w:ascii="ARIAL" w:hAnsi="ARIAL"/>
                <w:b/>
                <w:sz w:val="20"/>
                <w:szCs w:val="20"/>
              </w:rPr>
            </w:pPr>
            <w:r>
              <w:rPr>
                <w:rStyle w:val="StrongEmphasis"/>
                <w:rFonts w:ascii="ARIAL" w:hAnsi="ARIAL"/>
                <w:b/>
                <w:sz w:val="20"/>
                <w:szCs w:val="20"/>
              </w:rPr>
              <w:t>Property Accountant</w:t>
            </w:r>
          </w:p>
        </w:tc>
        <w:tc>
          <w:tcPr>
            <w:tcW w:w="1379" w:type="dxa"/>
            <w:gridSpan w:val="2"/>
            <w:tcBorders>
              <w:top w:val="nil"/>
              <w:left w:val="nil"/>
              <w:bottom w:val="nil"/>
              <w:insideH w:val="nil"/>
              <w:right w:val="nil"/>
              <w:insideV w:val="nil"/>
            </w:tcBorders>
            <w:shd w:fill="FFFFFF" w:val="clear"/>
            <w:vAlign w:val="center"/>
          </w:tcPr>
          <w:p>
            <w:pPr>
              <w:pStyle w:val="TableContents"/>
              <w:pBdr>
                <w:top w:val="nil"/>
                <w:left w:val="nil"/>
                <w:bottom w:val="nil"/>
                <w:right w:val="nil"/>
              </w:pBdr>
              <w:spacing w:before="120" w:after="210"/>
              <w:ind w:left="0" w:right="0" w:hanging="0"/>
              <w:jc w:val="left"/>
              <w:rPr>
                <w:rFonts w:ascii="ARIAL" w:hAnsi="ARIAL"/>
                <w:sz w:val="20"/>
                <w:szCs w:val="20"/>
              </w:rPr>
            </w:pPr>
            <w:r>
              <w:rPr>
                <w:rFonts w:ascii="ARIAL" w:hAnsi="ARIAL"/>
                <w:sz w:val="20"/>
                <w:szCs w:val="20"/>
              </w:rPr>
              <w:t>1996 to 1997</w:t>
            </w:r>
          </w:p>
        </w:tc>
      </w:tr>
      <w:tr>
        <w:trPr>
          <w:cantSplit w:val="false"/>
        </w:trPr>
        <w:tc>
          <w:tcPr>
            <w:tcW w:w="9637" w:type="dxa"/>
            <w:gridSpan w:val="3"/>
            <w:tcBorders>
              <w:top w:val="nil"/>
              <w:left w:val="nil"/>
              <w:bottom w:val="nil"/>
              <w:insideH w:val="nil"/>
              <w:right w:val="nil"/>
              <w:insideV w:val="nil"/>
            </w:tcBorders>
            <w:shd w:fill="FFFFFF" w:val="clear"/>
            <w:vAlign w:val="center"/>
          </w:tcPr>
          <w:p>
            <w:pPr>
              <w:pStyle w:val="TableContents"/>
              <w:jc w:val="left"/>
              <w:rPr>
                <w:rFonts w:ascii="ARIAL" w:hAnsi="ARIAL"/>
                <w:sz w:val="20"/>
                <w:szCs w:val="20"/>
              </w:rPr>
            </w:pPr>
            <w:r>
              <w:rPr>
                <w:rFonts w:ascii="ARIAL" w:hAnsi="ARIAL"/>
                <w:sz w:val="20"/>
                <w:szCs w:val="20"/>
              </w:rPr>
              <w:t>PROPERTY ONE INC. – Lafayette, Louisiana</w:t>
            </w:r>
          </w:p>
        </w:tc>
      </w:tr>
      <w:tr>
        <w:trPr>
          <w:cantSplit w:val="false"/>
        </w:trPr>
        <w:tc>
          <w:tcPr>
            <w:tcW w:w="8258" w:type="dxa"/>
            <w:tcBorders>
              <w:top w:val="nil"/>
              <w:left w:val="nil"/>
              <w:bottom w:val="nil"/>
              <w:insideH w:val="nil"/>
              <w:right w:val="nil"/>
              <w:insideV w:val="nil"/>
            </w:tcBorders>
            <w:shd w:fill="FFFFFF" w:val="clear"/>
            <w:vAlign w:val="center"/>
          </w:tcPr>
          <w:p>
            <w:pPr>
              <w:pStyle w:val="TableContents"/>
              <w:pBdr>
                <w:top w:val="nil"/>
                <w:left w:val="nil"/>
                <w:bottom w:val="nil"/>
                <w:right w:val="nil"/>
              </w:pBdr>
              <w:spacing w:before="120" w:after="210"/>
              <w:ind w:left="0" w:right="0" w:hanging="0"/>
              <w:jc w:val="left"/>
              <w:rPr>
                <w:rStyle w:val="StrongEmphasis"/>
                <w:rFonts w:ascii="ARIAL" w:hAnsi="ARIAL"/>
                <w:b/>
                <w:sz w:val="20"/>
                <w:szCs w:val="20"/>
              </w:rPr>
            </w:pPr>
            <w:r>
              <w:rPr>
                <w:rStyle w:val="StrongEmphasis"/>
                <w:rFonts w:ascii="ARIAL" w:hAnsi="ARIAL"/>
                <w:b/>
                <w:sz w:val="20"/>
                <w:szCs w:val="20"/>
              </w:rPr>
              <w:t>Insurance Auditor</w:t>
            </w:r>
          </w:p>
        </w:tc>
        <w:tc>
          <w:tcPr>
            <w:tcW w:w="1379" w:type="dxa"/>
            <w:gridSpan w:val="2"/>
            <w:tcBorders>
              <w:top w:val="nil"/>
              <w:left w:val="nil"/>
              <w:bottom w:val="nil"/>
              <w:insideH w:val="nil"/>
              <w:right w:val="nil"/>
              <w:insideV w:val="nil"/>
            </w:tcBorders>
            <w:shd w:fill="FFFFFF" w:val="clear"/>
            <w:vAlign w:val="center"/>
          </w:tcPr>
          <w:p>
            <w:pPr>
              <w:pStyle w:val="TableContents"/>
              <w:pBdr>
                <w:top w:val="nil"/>
                <w:left w:val="nil"/>
                <w:bottom w:val="nil"/>
                <w:right w:val="nil"/>
              </w:pBdr>
              <w:spacing w:before="120" w:after="210"/>
              <w:ind w:left="0" w:right="0" w:hanging="0"/>
              <w:jc w:val="left"/>
              <w:rPr>
                <w:rFonts w:ascii="ARIAL" w:hAnsi="ARIAL"/>
                <w:sz w:val="20"/>
                <w:szCs w:val="20"/>
              </w:rPr>
            </w:pPr>
            <w:r>
              <w:rPr>
                <w:rFonts w:ascii="ARIAL" w:hAnsi="ARIAL"/>
                <w:sz w:val="20"/>
                <w:szCs w:val="20"/>
              </w:rPr>
              <w:t>1995 to 1996</w:t>
            </w:r>
          </w:p>
        </w:tc>
      </w:tr>
      <w:tr>
        <w:trPr>
          <w:cantSplit w:val="false"/>
        </w:trPr>
        <w:tc>
          <w:tcPr>
            <w:tcW w:w="9637" w:type="dxa"/>
            <w:gridSpan w:val="3"/>
            <w:tcBorders>
              <w:top w:val="nil"/>
              <w:left w:val="nil"/>
              <w:bottom w:val="nil"/>
              <w:insideH w:val="nil"/>
              <w:right w:val="nil"/>
              <w:insideV w:val="nil"/>
            </w:tcBorders>
            <w:shd w:fill="FFFFFF" w:val="clear"/>
            <w:vAlign w:val="center"/>
          </w:tcPr>
          <w:p>
            <w:pPr>
              <w:pStyle w:val="TableContents"/>
              <w:jc w:val="left"/>
              <w:rPr>
                <w:rFonts w:ascii="ARIAL" w:hAnsi="ARIAL"/>
                <w:sz w:val="20"/>
                <w:szCs w:val="20"/>
              </w:rPr>
            </w:pPr>
            <w:r>
              <w:rPr>
                <w:rFonts w:ascii="ARIAL" w:hAnsi="ARIAL"/>
                <w:sz w:val="20"/>
                <w:szCs w:val="20"/>
              </w:rPr>
              <w:t>EQUIFAX COMMERCIAL SPECIALISTS – Lafayette, Louisiana</w:t>
            </w:r>
          </w:p>
        </w:tc>
      </w:tr>
      <w:tr>
        <w:trPr>
          <w:cantSplit w:val="false"/>
        </w:trPr>
        <w:tc>
          <w:tcPr>
            <w:tcW w:w="9637" w:type="dxa"/>
            <w:gridSpan w:val="3"/>
            <w:tcBorders>
              <w:top w:val="nil"/>
              <w:left w:val="nil"/>
              <w:bottom w:val="nil"/>
              <w:insideH w:val="nil"/>
              <w:right w:val="nil"/>
              <w:insideV w:val="nil"/>
            </w:tcBorders>
            <w:shd w:fill="FFFFFF" w:val="clear"/>
            <w:vAlign w:val="center"/>
          </w:tcPr>
          <w:p>
            <w:pPr>
              <w:pStyle w:val="TableContents"/>
              <w:pBdr>
                <w:top w:val="nil"/>
                <w:left w:val="nil"/>
                <w:bottom w:val="nil"/>
                <w:right w:val="nil"/>
              </w:pBdr>
              <w:spacing w:before="120" w:after="210"/>
              <w:ind w:left="0" w:right="0" w:hanging="0"/>
              <w:jc w:val="left"/>
              <w:rPr>
                <w:rStyle w:val="StrongEmphasis"/>
                <w:rFonts w:ascii="ARIAL" w:hAnsi="ARIAL"/>
                <w:b/>
                <w:sz w:val="20"/>
                <w:szCs w:val="20"/>
              </w:rPr>
            </w:pPr>
            <w:r>
              <w:rPr>
                <w:rStyle w:val="StrongEmphasis"/>
                <w:rFonts w:ascii="ARIAL" w:hAnsi="ARIAL"/>
                <w:b/>
                <w:sz w:val="20"/>
                <w:szCs w:val="20"/>
              </w:rPr>
              <w:t>EDUCATION</w:t>
            </w:r>
          </w:p>
        </w:tc>
      </w:tr>
      <w:tr>
        <w:trPr>
          <w:cantSplit w:val="false"/>
        </w:trPr>
        <w:tc>
          <w:tcPr>
            <w:tcW w:w="8354" w:type="dxa"/>
            <w:gridSpan w:val="2"/>
            <w:tcBorders>
              <w:top w:val="nil"/>
              <w:left w:val="nil"/>
              <w:bottom w:val="nil"/>
              <w:insideH w:val="nil"/>
              <w:right w:val="nil"/>
              <w:insideV w:val="nil"/>
            </w:tcBorders>
            <w:shd w:fill="FFFFFF" w:val="clear"/>
            <w:vAlign w:val="center"/>
          </w:tcPr>
          <w:p>
            <w:pPr>
              <w:pStyle w:val="TableContents"/>
              <w:pBdr>
                <w:top w:val="nil"/>
                <w:left w:val="nil"/>
                <w:bottom w:val="nil"/>
                <w:right w:val="nil"/>
              </w:pBdr>
              <w:spacing w:before="120" w:after="210"/>
              <w:ind w:left="0" w:right="0" w:hanging="0"/>
              <w:jc w:val="left"/>
              <w:rPr>
                <w:rFonts w:ascii="ARIAL" w:hAnsi="ARIAL"/>
                <w:sz w:val="20"/>
                <w:szCs w:val="20"/>
              </w:rPr>
            </w:pPr>
            <w:r>
              <w:rPr>
                <w:rStyle w:val="StrongEmphasis"/>
                <w:rFonts w:ascii="ARIAL" w:hAnsi="ARIAL"/>
                <w:b/>
                <w:sz w:val="20"/>
                <w:szCs w:val="20"/>
              </w:rPr>
              <w:t>Bachelor of Science in Business Administration</w:t>
            </w:r>
            <w:r>
              <w:rPr>
                <w:rFonts w:ascii="ARIAL" w:hAnsi="ARIAL"/>
                <w:sz w:val="20"/>
                <w:szCs w:val="20"/>
              </w:rPr>
              <w:t> – </w:t>
            </w:r>
            <w:r>
              <w:rPr>
                <w:rStyle w:val="StrongEmphasis"/>
                <w:rFonts w:ascii="ARIAL" w:hAnsi="ARIAL"/>
                <w:b/>
                <w:sz w:val="20"/>
                <w:szCs w:val="20"/>
              </w:rPr>
              <w:t>Accounting</w:t>
            </w:r>
            <w:r>
              <w:rPr>
                <w:rFonts w:ascii="ARIAL" w:hAnsi="ARIAL"/>
                <w:sz w:val="20"/>
                <w:szCs w:val="20"/>
              </w:rPr>
              <w:t> (Minor in Business Administration)</w:t>
            </w:r>
          </w:p>
        </w:tc>
        <w:tc>
          <w:tcPr>
            <w:tcW w:w="1283" w:type="dxa"/>
            <w:tcBorders>
              <w:top w:val="nil"/>
              <w:left w:val="nil"/>
              <w:bottom w:val="nil"/>
              <w:insideH w:val="nil"/>
              <w:right w:val="nil"/>
              <w:insideV w:val="nil"/>
            </w:tcBorders>
            <w:shd w:fill="FFFFFF" w:val="clear"/>
            <w:vAlign w:val="center"/>
          </w:tcPr>
          <w:p>
            <w:pPr>
              <w:pStyle w:val="TableContents"/>
              <w:pBdr>
                <w:top w:val="nil"/>
                <w:left w:val="nil"/>
                <w:bottom w:val="nil"/>
                <w:right w:val="nil"/>
              </w:pBdr>
              <w:spacing w:before="120" w:after="210"/>
              <w:ind w:left="0" w:right="0" w:hanging="0"/>
              <w:jc w:val="left"/>
              <w:rPr>
                <w:rFonts w:ascii="ARIAL" w:hAnsi="ARIAL"/>
                <w:sz w:val="20"/>
                <w:szCs w:val="20"/>
              </w:rPr>
            </w:pPr>
            <w:r>
              <w:rPr>
                <w:rFonts w:ascii="ARIAL" w:hAnsi="ARIAL"/>
                <w:sz w:val="20"/>
                <w:szCs w:val="20"/>
              </w:rPr>
              <w:t>1993</w:t>
            </w:r>
          </w:p>
        </w:tc>
      </w:tr>
      <w:tr>
        <w:trPr>
          <w:cantSplit w:val="false"/>
        </w:trPr>
        <w:tc>
          <w:tcPr>
            <w:tcW w:w="9637" w:type="dxa"/>
            <w:gridSpan w:val="3"/>
            <w:tcBorders>
              <w:top w:val="nil"/>
              <w:left w:val="nil"/>
              <w:bottom w:val="nil"/>
              <w:insideH w:val="nil"/>
              <w:right w:val="nil"/>
              <w:insideV w:val="nil"/>
            </w:tcBorders>
            <w:shd w:fill="FFFFFF" w:val="clear"/>
            <w:vAlign w:val="center"/>
          </w:tcPr>
          <w:p>
            <w:pPr>
              <w:pStyle w:val="TableContents"/>
              <w:jc w:val="left"/>
              <w:rPr>
                <w:rFonts w:ascii="ARIAL" w:hAnsi="ARIAL"/>
                <w:sz w:val="20"/>
                <w:szCs w:val="20"/>
              </w:rPr>
            </w:pPr>
            <w:r>
              <w:rPr>
                <w:rFonts w:ascii="ARIAL" w:hAnsi="ARIAL"/>
                <w:sz w:val="20"/>
                <w:szCs w:val="20"/>
              </w:rPr>
              <w:t>UNIVERSITY OF LOUISIANA AT LAFAYETTE – Lafayette, Louisiana</w:t>
            </w:r>
          </w:p>
        </w:tc>
      </w:tr>
    </w:tbl>
    <w:p>
      <w:pPr>
        <w:pStyle w:val="Normal"/>
        <w:jc w:val="left"/>
        <w:rPr/>
      </w:pPr>
      <w:r>
        <w:rPr/>
      </w:r>
    </w:p>
    <w:sectPr>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ARIAL">
    <w:charset w:val="01"/>
    <w:family w:val="roman"/>
    <w:pitch w:val="variable"/>
  </w:font>
</w:fonts>
</file>

<file path=word/settings.xml><?xml version="1.0" encoding="utf-8"?>
<w:settings xmlns:w="http://schemas.openxmlformats.org/wordprocessingml/2006/main">
  <w:zoom w:percent="55"/>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bidi w:val="0"/>
      <w:jc w:val="left"/>
    </w:pPr>
    <w:rPr>
      <w:rFonts w:ascii="Liberation Serif" w:hAnsi="Liberation Serif" w:eastAsia="Droid Sans Fallback" w:cs="FreeSans"/>
      <w:color w:val="00000A"/>
      <w:sz w:val="24"/>
      <w:szCs w:val="24"/>
      <w:lang w:val="en-IN" w:eastAsia="zh-CN" w:bidi="hi-IN"/>
    </w:rPr>
  </w:style>
  <w:style w:type="character" w:styleId="StrongEmphasis">
    <w:name w:val="Strong Emphasis"/>
    <w:rPr>
      <w:b/>
      <w:bCs/>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TableContents">
    <w:name w:val="Table Contents"/>
    <w:basedOn w:val="Normal"/>
    <w:pPr>
      <w:suppressLineNumbers/>
    </w:pPr>
    <w:rPr/>
  </w:style>
  <w:style w:type="paragraph" w:styleId="TableHeading">
    <w:name w:val="Table Heading"/>
    <w:basedOn w:val="TableContents"/>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2017-01-27T18:36:12Z</dcterms:created>
  <dc:language>en-IN</dc:language>
  <cp:revision>0</cp:revision>
</cp:coreProperties>
</file>